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CF" w:rsidRPr="00686ECF" w:rsidRDefault="00686ECF" w:rsidP="00686EC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6ECF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В последнее десятилетие мы часто слышим о таком негативном социальном явлении как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. При этом у многих этот термин ассоциируется с молодежной средой, школьным коллективом. Однако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может проявляться в совершенно разных группах, среди людей разного возраста и социального статуса.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Сам термин «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» происходит от английского слова «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bully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» и означает: хулиган, драчун, грубиян, насильник.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ученые понимают стремление к доминированию путем унижения другого человека. Он может проявляться по-разному: от неприличных шуток до физического воздействия.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Отличительной чертой указанного явления от иного рода конфликтов является неравное соотношение сил. Так, при обычном конфликте между людьми силы могут быть равны, в то время как при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, всегда есть сильная агрессивная сторона и жертва, которая подвергается нападкам.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Как правило, у таких отношений между «агрессором» и «жертвой» существует достаточно много молчаливых свидетелей, которые своим безразличием к конфликту только осложняют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травматичность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ситуации для жертвы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Травля может иметь разные формы психологического и/или физического насилия. Однако при этом всегда проявляются характерные признаки: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негативное и агрессивное поведение;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все действия совершаются умышленно и на регулярной основе;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силы сторон не равны.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Наиболее широкое распространение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получил в образовательных учреждениях с учетом склонности несовершеннолетних к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 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Рассмотрим основные виды травли на примере </w:t>
      </w:r>
      <w:r w:rsidRPr="00686ECF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</w:t>
      </w:r>
      <w:proofErr w:type="spellStart"/>
      <w:r w:rsidRPr="00686ECF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Психологический </w:t>
      </w:r>
      <w:proofErr w:type="spellStart"/>
      <w:r w:rsidRPr="00686ECF">
        <w:rPr>
          <w:rFonts w:ascii="Times New Roman" w:hAnsi="Times New Roman" w:cs="Times New Roman"/>
          <w:i/>
          <w:iCs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686ECF">
        <w:rPr>
          <w:rFonts w:ascii="Times New Roman" w:hAnsi="Times New Roman" w:cs="Times New Roman"/>
          <w:sz w:val="24"/>
          <w:szCs w:val="24"/>
        </w:rPr>
        <w:t xml:space="preserve">Представляет собой преследование с помощью угроз и оскорблений. Агрессор своими действиями выводит жертву из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эмоциальной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стабильности, наносит психологическую травму. Достигается это разными способами: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Вербальные нападки – насмешки, придумывание оскорбительного прозвища, угрозы, шантаж, распространение негативных слухов.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Невербальные гонения – неприличные жесты, оскорбительные надписи и действия, унижающие жертву.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Бойкот – игнорирование в общении, отказ от совместного участия в чем-либо.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Вымогательство – требование о передаче денег, ценных вещей под принуждением.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– онлайн-травля в социальных сетях, электронной почте и мессенджерах через шантаж, унижения и оскорбления, а также съемка неоднозначных фото и видео с последующим распространением в сети Интернет.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Физический </w:t>
      </w:r>
      <w:proofErr w:type="spellStart"/>
      <w:r w:rsidRPr="00686ECF">
        <w:rPr>
          <w:rFonts w:ascii="Times New Roman" w:hAnsi="Times New Roman" w:cs="Times New Roman"/>
          <w:i/>
          <w:iCs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686ECF">
        <w:rPr>
          <w:rFonts w:ascii="Times New Roman" w:hAnsi="Times New Roman" w:cs="Times New Roman"/>
          <w:sz w:val="24"/>
          <w:szCs w:val="24"/>
        </w:rPr>
        <w:t>Проявляется в виде прямого физического насилия с возможными телесными повреждениями и травмами (удары, шлепки, подзатыльники, толчки, побои).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Нередко оба вида насилия происходят вместе. Вместе с тем психологический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не менее опасен, чем физический.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У жертв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выделяют схожие особенности: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тревожность, неуверенность, пугливость,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замкнутость, отсутствие друзей;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физические недостатки;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чрезмерная опека родителями;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плохая успеваемость/особые отношения с учителями;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другая национальность;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отсутствие современных гаджетов;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непривычный внешний вид.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Дети, оказавшиеся жертвами травли, испытывают сложности со здоровьем и успеваемостью, в три раза чаще по сравнению со сверстниками имеют симптомы тревожно-депрессивных расстройств, апатию, головные боли, совершают попытки суицида. Они склонны представлять мир полным опасностей, а себя неспособными повлиять на происходящее.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У преследователей (агрессоров) отмечается готовность применять насилие для самоутверждения и импульсивность; они легко испытывают фрустрацию, с трудом соблюдают правила, демонстрируют грубость и отсутствие сострадания к жертвам, агрессивны со взрослыми. Основными мотивами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служат потребность во власти, удовлетворение от причинения вреда другим и вознаграждение – материальное (деньги, сигареты, другие вещи, отбираемые у жертвы) или психологическое (престиж, социальный статус, страх окружающих).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 отношениях «агрессор-жертва» участвуют и другие лица: последователи, сторонники и наблюдатели.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Последователи подключаются к активным действиям агрессора и служат его группой поддержки. Сторонники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отличаются от последователей молчаливой поддержкой происходящего. Эта группа не вступает в активные действия, но молча одобряет происходящее.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Еще одна категория – зрители, которые не выбирают ни сторону нападения, ни сторону защиты. Часто такую роль могут играть не только дети, но и взрослые, на глазах которых происходит травля: педагоги, сотрудники школы.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Можно подумать, что вред от этой категории самый минимальный, однако психологическая травма от равнодушия и бездействия наблюдателей может привести к самым серьезным последствиям.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Важно вовремя обратить внимание на признаки возможной травли, чтобы спасти жертву от негативных последствий. Чаще всего проявляются следующие признаки: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lastRenderedPageBreak/>
        <w:t>изменения в характере и поведении (частое плохое настроение, скрытность, подавленность, молчаливость, потеря интереса к любимым занятиям);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изменения в здоровье (нарушение сна, заикание, ночные крики);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внешние травмы (синяки, ссадины, ожоги);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нежелание посещать школу по надуманным причинам;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снижение успеваемости;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Все эти признаки не всегда свидетельствуют о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, однако их проявление является ярким поводом обратить внимание на ребенка, проявить должную заботу.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Что делать жертве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?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 первую очередь поговорить с обидчиками и выяснить в чем причина такого отношения. Возможно, дело в существующих противоречиях, решение которые поможет прекратить агрессию.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Важно не молчать. Молчание при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– это немое одобрение происходящего. Если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происходит в школе, следует обратиться к преподавателям, школьному психологу, директору. На работе стоит рассказать о ситуации руководству или сообщить в отдел кадров.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Попробовать найти поддержку среди тех, кому доверяете. Также есть специальные службы, готовые поддержать и помочь в такой ситуации. В России представлены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антибуллинговые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программы проектами «Каждый важен» и «Травли Нет». VK и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Unilever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в рамках кампании #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неткибербуллингу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запустили горячую линию для тех, кто столкнулся с травлей в сети. Специалисты проекта всегда готовы выслушать, поддержать и помочь в трудной ситуации как детям, так и взрослым.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Обратиться к психологу. Психолог выслушает, предложит варианты решения проблемы, поможет выстроить линию поведения.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Вести дневник. Записи фактов проявления агрессии, а также скриншоты сообщений с угрозами и оскорблениями могут помочь в дальнейшем при обращении в правоохранительные органы.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Зафиксировать травмы. В случаях, если жертва подвергалась физическому насилию, стоит обратиться в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для официальной фиксации побоев.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Обратиться в правоохранительные органы.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 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 российском законодательстве </w:t>
      </w:r>
      <w:r w:rsidRPr="00686ECF">
        <w:rPr>
          <w:rFonts w:ascii="Times New Roman" w:hAnsi="Times New Roman" w:cs="Times New Roman"/>
          <w:b/>
          <w:bCs/>
          <w:sz w:val="24"/>
          <w:szCs w:val="24"/>
        </w:rPr>
        <w:t xml:space="preserve">не предусмотрено специальной ответственности за </w:t>
      </w:r>
      <w:proofErr w:type="spellStart"/>
      <w:r w:rsidRPr="00686ECF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Вместе с тем зачинщиков травли можно привлечь к ответственности за действия, входящие в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: оскорбление, нанесение побоев, угрозы.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 зависимости от характера совершенных действий нарушителей, в том несовершеннолетних, могут привлечь к административной, уголовной и гражданско-правовой ответственности.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lastRenderedPageBreak/>
        <w:t>С 14 лет несовершеннолетний может быть привлечен к гражданско-правовой ответственности, за действия несовершеннолетних до 14 лет отвечают их родители и законные представители.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 соответствии с частью 1 статьи 5.61 Кодекса Российской Федерации об административных правонарушениях может повлечь наложение административного штрафа на граждан в размере от 3 до 5 тысяч рублей.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Аналогичное правонарушение,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К указанной ответственности может быть привлечен нарушитель, достигший 16 лет.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Если рассматривать ситуацию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 xml:space="preserve"> в рамках уголовной ответственности, то действия могут быть охвачены разными составами преступлений, предусмотренных Уголовным кодексом Российской Федерации.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111. Умышленное причинение тяжкого вреда здоровью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Основным признаком деяния является причинение тяжкого вреда здоровью: опасный для жизни вред здоровью; потеря зрения, речи, слуха, потеря какого-либо органа или утрата органом его функций; прерывание беременности; психическое расстройство; заболевание наркоманией или токсикоманией, неизгладимое обезображивание лица; значительная стойкая утрата общей трудоспособности не менее чем на одну треть; заведомо для виновного полная утрата профессиональной трудоспособности.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112. Умышленное причинение средней тяжести вреда здоровью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Средний тяжести вред здоровью можно описать с помощью следующих признаков: вред здоровью, не опасный для жизни и не повлекший тяжких последствий; вред здоровью, вызвавший длительное расстройство здоровья (свыше трех недель).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163. Вымогательство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Действия выражаются в требовании: передать имущество виновному лицу или представляемым им лицам; передать право на имущество виновному лицу или представляемым им лицам; совершить другие действия имущественного характера, т.е. действия, не связанные с передачей имущества или права на имущество, но способные принести материальную выгоду виновному лицу или представляемым им лицам (например, бесплатный ремонт, строительство).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167. Умышленные уничтожение или повреждение имущества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Преступление предполагает совершение альтернативно предусмотренных действий: уничтожения чужого имущества, т.е. его приведения в состояние, при котором оно не может использоваться по целевому назначению или исчезает как предмет физического мира; повреждения чужого имущества, т.е. частичной утраты им своих свойств, повреждении, требующем ремонта, и т.п.</w:t>
      </w:r>
    </w:p>
    <w:p w:rsidR="00D619B5" w:rsidRDefault="00D619B5" w:rsidP="00686E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213. Хулиганство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Заключается в действиях, образующих грубое нарушение общественного порядка, выражающее явное неуважение к обществу. Действия, составляющие хулиганство, разнообразны: применение насилия к гражданам, уничтожение и повреждение чужого имущества, срыв массовых мероприятий, прекращение или приостановление работы транспорта и т.п. Для квалификации таких действий как хулиганства они, во-первых, должны образовывать грубое нарушение общественного порядка и, во-вторых, должны выражать явное неуважение к обществу.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Ответственность за указанные виды преступлений наступает с 14 лет.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110. Доведение до самоубийства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Жестокое обращение с потерпевшим выражается в нанесении ему побоев, истязаний, причинении вреда здоровью, лишении тепла, пищи и т.п. Систематическое унижение человеческого достоинства выражается в многократных актах оскорбления, глумления,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опорочивания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Законодательством предусмотрено суровое наказание за доведение лица до самоубийства или до покушения на самоубийство. Такое деяние, если оно совершено в отношении несовершеннолетнего, или в информационно-телекоммуникационных сетях, в том числе в сети «Интернет» наказывается лишением свободы на срок от 8 до 15 лет.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282. Возбуждение ненависти либо вражды, а равно унижение человеческого достоинства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Выражается в форме действий, направленных: на возбуждение ненависти либо вражды; унижение достоинства человека (группы лиц) по признакам пола, расы, национальности, языка, происхождения, отношения к религии, а равно принадлежности к какой-либо социальной группе. Способ совершения действий — публичный, в том числе с использованием средств массовой информации либо информационно-телекоммуникационных сетей, включая сеть Интернет, или обстановка их совершения (публичная).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116. Побои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Побои выражаются в насильственных действиях, причинивших физическую боль, но не повлекших вред здоровью. При этом указанные действия совершаются их хулиганских побуждений, по мотивам политической, идеологической, расовой, национальной или религиозной </w:t>
      </w:r>
      <w:proofErr w:type="gramStart"/>
      <w:r w:rsidRPr="00686ECF">
        <w:rPr>
          <w:rFonts w:ascii="Times New Roman" w:hAnsi="Times New Roman" w:cs="Times New Roman"/>
          <w:sz w:val="24"/>
          <w:szCs w:val="24"/>
        </w:rPr>
        <w:t>ненависти</w:t>
      </w:r>
      <w:proofErr w:type="gramEnd"/>
      <w:r w:rsidRPr="00686ECF">
        <w:rPr>
          <w:rFonts w:ascii="Times New Roman" w:hAnsi="Times New Roman" w:cs="Times New Roman"/>
          <w:sz w:val="24"/>
          <w:szCs w:val="24"/>
        </w:rPr>
        <w:t xml:space="preserve"> или вражды либо по мотивам ненависти или вражды в отношении какой-либо социальной группы. В результате побоев могут возникнуть, например, ссадины, кровоподтеки, небольшие раны. Однако они могут и не оставить после себя никаких объективно выявляемых повреждений.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110</w:t>
      </w:r>
      <w:r w:rsidRPr="00686E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86ECF">
        <w:rPr>
          <w:rFonts w:ascii="Times New Roman" w:hAnsi="Times New Roman" w:cs="Times New Roman"/>
          <w:b/>
          <w:bCs/>
          <w:sz w:val="24"/>
          <w:szCs w:val="24"/>
        </w:rPr>
        <w:t>. Склонение к совершению самоубийства или содействие совершению самоубийства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Складывается из двух альтернативных деяний: склонения к совершению самоубийства или содействия совершению такового.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Склонение – это действия, направленные на возбуждение у другого лица решимости покончить с собой. Содействие – это выполнение виновным пособнических действий самоубийству, выражающихся в даче советов, указаний, в предоставлении информации, </w:t>
      </w:r>
      <w:r w:rsidRPr="00686ECF">
        <w:rPr>
          <w:rFonts w:ascii="Times New Roman" w:hAnsi="Times New Roman" w:cs="Times New Roman"/>
          <w:sz w:val="24"/>
          <w:szCs w:val="24"/>
        </w:rPr>
        <w:lastRenderedPageBreak/>
        <w:t>средств или орудий совершения самоубийства, в устранении препятствий к его совершению, в обещании скрыть средства или орудия совершения самоубийства.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128</w:t>
      </w:r>
      <w:r w:rsidRPr="00686E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86ECF">
        <w:rPr>
          <w:rFonts w:ascii="Times New Roman" w:hAnsi="Times New Roman" w:cs="Times New Roman"/>
          <w:b/>
          <w:bCs/>
          <w:sz w:val="24"/>
          <w:szCs w:val="24"/>
        </w:rPr>
        <w:t>. Клевета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Выражается в действиях по распространению заведомо ложных сведений, порочащих честь и достоинство другого лица или подрывающих его репутацию. В случае, когда ложные сведения не являются порочащими, ответственность за клевету исключается.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b/>
          <w:bCs/>
          <w:sz w:val="24"/>
          <w:szCs w:val="24"/>
        </w:rPr>
        <w:t>Статья 117. Истязание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вред здоровью (тяжкий или средней тяжести).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При этом ответственность за данные преступления наступает с 16 лет.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 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Разберем конкрет</w:t>
      </w:r>
      <w:r w:rsidR="00D619B5">
        <w:rPr>
          <w:rFonts w:ascii="Times New Roman" w:hAnsi="Times New Roman" w:cs="Times New Roman"/>
          <w:sz w:val="24"/>
          <w:szCs w:val="24"/>
        </w:rPr>
        <w:t xml:space="preserve">ный пример </w:t>
      </w:r>
      <w:proofErr w:type="spellStart"/>
      <w:r w:rsidR="00D619B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D619B5">
        <w:rPr>
          <w:rFonts w:ascii="Times New Roman" w:hAnsi="Times New Roman" w:cs="Times New Roman"/>
          <w:sz w:val="24"/>
          <w:szCs w:val="24"/>
        </w:rPr>
        <w:t xml:space="preserve"> из жизни. 14</w:t>
      </w:r>
      <w:r w:rsidRPr="00686ECF">
        <w:rPr>
          <w:rFonts w:ascii="Times New Roman" w:hAnsi="Times New Roman" w:cs="Times New Roman"/>
          <w:sz w:val="24"/>
          <w:szCs w:val="24"/>
        </w:rPr>
        <w:t>-летняя Л. хорошо училась, когда жила в райцентре, но родители переехали в крупный город и в новой школе у восьмиклассницы возникли проблемы. Кто-то обозвал Л., она расплакалась. Начались насмешки. Случился конфликт с соседом по парте – учительница, не разбираясь, встала на его сторону. Девушка замкнулась, стала реже посещать занятия, снизилась успеваемость.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Увидев плохие оценки за четверть, мать, не особо вникая в причины, потребовала все исправить. Отметки Л. подтянула, но контакта с ребятами так и не нашла. На физкультуре одноклассники норовили толкнуть ее и сбить с ног, на переменах спускали в унитаз тетради, заталкивали в мужской туалет, зимой набивали ее шапку снегом, прятали верхнюю одежду, прикрепляли на спину </w:t>
      </w:r>
      <w:proofErr w:type="gramStart"/>
      <w:r w:rsidRPr="00686ECF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686ECF">
        <w:rPr>
          <w:rFonts w:ascii="Times New Roman" w:hAnsi="Times New Roman" w:cs="Times New Roman"/>
          <w:sz w:val="24"/>
          <w:szCs w:val="24"/>
        </w:rPr>
        <w:t xml:space="preserve"> «Пни меня», а потом радостно пинали. И парни, и девушки.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Когда классный руководитель сообщила матери, что Л. прогуливает школу из-за травли, женщина пришла в школу и припугнула обидчиков. В итоге новенькую перестали изводить физически. Вместо этого она получила прозвище «Тварь», ее объявили заразной. Не выдержав прессинга, школьница решила отравиться – ее спасли благодаря чистой случайности. Матери Л. казалось, что дочь преувеличивает свои страдания.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>В данном случае одноклассники Л. своими действи</w:t>
      </w:r>
      <w:r w:rsidR="00D619B5">
        <w:rPr>
          <w:rFonts w:ascii="Times New Roman" w:hAnsi="Times New Roman" w:cs="Times New Roman"/>
          <w:sz w:val="24"/>
          <w:szCs w:val="24"/>
        </w:rPr>
        <w:t xml:space="preserve">ями довели девушку до доведения </w:t>
      </w:r>
      <w:bookmarkStart w:id="0" w:name="_GoBack"/>
      <w:bookmarkEnd w:id="0"/>
      <w:r w:rsidRPr="00686ECF">
        <w:rPr>
          <w:rFonts w:ascii="Times New Roman" w:hAnsi="Times New Roman" w:cs="Times New Roman"/>
          <w:sz w:val="24"/>
          <w:szCs w:val="24"/>
        </w:rPr>
        <w:t>до самоубийства путем систематического унижения человеческого достоинства. Уголовная ответственность за данное деяние наступает с 16 лет, а в качестве наказания предусмотрено лишение свободы на срок от восьми до пятнадцати лет.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Однако даже уголовная ответственность не спасают людей от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.</w:t>
      </w:r>
    </w:p>
    <w:p w:rsidR="00686ECF" w:rsidRPr="00686ECF" w:rsidRDefault="00686ECF" w:rsidP="00686ECF">
      <w:pPr>
        <w:rPr>
          <w:rFonts w:ascii="Times New Roman" w:hAnsi="Times New Roman" w:cs="Times New Roman"/>
          <w:sz w:val="24"/>
          <w:szCs w:val="24"/>
        </w:rPr>
      </w:pPr>
      <w:r w:rsidRPr="00686ECF">
        <w:rPr>
          <w:rFonts w:ascii="Times New Roman" w:hAnsi="Times New Roman" w:cs="Times New Roman"/>
          <w:sz w:val="24"/>
          <w:szCs w:val="24"/>
        </w:rPr>
        <w:t xml:space="preserve">Чтобы исключить </w:t>
      </w:r>
      <w:proofErr w:type="spellStart"/>
      <w:r w:rsidRPr="00686E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6ECF">
        <w:rPr>
          <w:rFonts w:ascii="Times New Roman" w:hAnsi="Times New Roman" w:cs="Times New Roman"/>
          <w:sz w:val="24"/>
          <w:szCs w:val="24"/>
        </w:rPr>
        <w:t>, минимизировать его последствия, необходимы совместные усилия родителей, педагогов, психологов, учащихся. Важно помнить, что каждый человек является личностью и каждый человек достоин уважительного отношения к себе.</w:t>
      </w:r>
    </w:p>
    <w:p w:rsidR="00002A41" w:rsidRPr="00686ECF" w:rsidRDefault="00D619B5">
      <w:pPr>
        <w:rPr>
          <w:rFonts w:ascii="Times New Roman" w:hAnsi="Times New Roman" w:cs="Times New Roman"/>
          <w:sz w:val="24"/>
          <w:szCs w:val="24"/>
        </w:rPr>
      </w:pPr>
    </w:p>
    <w:sectPr w:rsidR="00002A41" w:rsidRPr="0068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A55A5"/>
    <w:multiLevelType w:val="multilevel"/>
    <w:tmpl w:val="A058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A"/>
    <w:rsid w:val="00641FD4"/>
    <w:rsid w:val="00686ECF"/>
    <w:rsid w:val="00AD795A"/>
    <w:rsid w:val="00D5181F"/>
    <w:rsid w:val="00D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BB3B"/>
  <w15:chartTrackingRefBased/>
  <w15:docId w15:val="{398585BD-A81F-4ACA-9397-D88E1A5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2233</Words>
  <Characters>12732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dcterms:created xsi:type="dcterms:W3CDTF">2024-06-05T01:42:00Z</dcterms:created>
  <dcterms:modified xsi:type="dcterms:W3CDTF">2024-06-05T02:24:00Z</dcterms:modified>
</cp:coreProperties>
</file>